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A5F57" w14:textId="2089E173" w:rsidR="000B39AA" w:rsidRPr="00BE5E5A" w:rsidRDefault="000B39AA" w:rsidP="000B39AA">
      <w:pPr>
        <w:pStyle w:val="Header"/>
        <w:tabs>
          <w:tab w:val="right" w:pos="10440"/>
          <w:tab w:val="right" w:pos="13323"/>
        </w:tabs>
        <w:rPr>
          <w:rFonts w:eastAsia="SimSun" w:cs="Arial"/>
          <w:b/>
          <w:sz w:val="24"/>
          <w:szCs w:val="24"/>
          <w:lang w:eastAsia="zh-CN"/>
        </w:rPr>
      </w:pPr>
      <w:r w:rsidRPr="00F644CF">
        <w:rPr>
          <w:rFonts w:cs="Arial"/>
          <w:b/>
          <w:sz w:val="24"/>
          <w:szCs w:val="24"/>
        </w:rPr>
        <w:t>3GPP TSG-RAN WG4 Meeting #</w:t>
      </w:r>
      <w:r>
        <w:rPr>
          <w:rFonts w:eastAsia="SimSun" w:cs="Arial"/>
          <w:b/>
          <w:sz w:val="24"/>
          <w:szCs w:val="24"/>
          <w:lang w:eastAsia="zh-CN"/>
        </w:rPr>
        <w:t>92</w:t>
      </w:r>
      <w:r w:rsidRPr="00F644CF">
        <w:rPr>
          <w:rFonts w:cs="Arial"/>
          <w:b/>
          <w:sz w:val="24"/>
          <w:szCs w:val="24"/>
        </w:rPr>
        <w:tab/>
      </w:r>
      <w:r>
        <w:rPr>
          <w:rFonts w:cs="Arial"/>
          <w:b/>
          <w:sz w:val="24"/>
          <w:szCs w:val="24"/>
        </w:rPr>
        <w:t xml:space="preserve">                                                                         </w:t>
      </w:r>
      <w:r w:rsidRPr="00F12F9A">
        <w:rPr>
          <w:rFonts w:cs="Arial"/>
          <w:b/>
          <w:sz w:val="24"/>
          <w:szCs w:val="24"/>
        </w:rPr>
        <w:t>R4-190</w:t>
      </w:r>
      <w:r>
        <w:rPr>
          <w:rFonts w:cs="Arial"/>
          <w:b/>
          <w:sz w:val="24"/>
          <w:szCs w:val="24"/>
        </w:rPr>
        <w:t>8556</w:t>
      </w:r>
    </w:p>
    <w:p w14:paraId="61487714" w14:textId="77777777" w:rsidR="000B39AA" w:rsidRPr="00F644CF" w:rsidRDefault="000B39AA" w:rsidP="000B39AA">
      <w:pPr>
        <w:pStyle w:val="Header"/>
        <w:tabs>
          <w:tab w:val="right" w:pos="9781"/>
          <w:tab w:val="right" w:pos="13323"/>
        </w:tabs>
        <w:outlineLvl w:val="0"/>
        <w:rPr>
          <w:rFonts w:eastAsia="SimSun"/>
          <w:b/>
          <w:sz w:val="24"/>
          <w:szCs w:val="24"/>
          <w:lang w:eastAsia="zh-CN"/>
        </w:rPr>
      </w:pPr>
      <w:r w:rsidRPr="0022145D">
        <w:rPr>
          <w:rFonts w:eastAsia="SimSun"/>
          <w:b/>
          <w:sz w:val="24"/>
          <w:szCs w:val="24"/>
          <w:lang w:eastAsia="zh-CN"/>
        </w:rPr>
        <w:t>Ljubljana</w:t>
      </w:r>
      <w:r w:rsidRPr="00F644CF">
        <w:rPr>
          <w:rFonts w:eastAsia="SimSun" w:hint="eastAsia"/>
          <w:b/>
          <w:sz w:val="24"/>
          <w:szCs w:val="24"/>
          <w:lang w:eastAsia="zh-CN"/>
        </w:rPr>
        <w:t xml:space="preserve">, </w:t>
      </w:r>
      <w:r>
        <w:rPr>
          <w:rFonts w:eastAsia="SimSun"/>
          <w:b/>
          <w:sz w:val="24"/>
          <w:szCs w:val="24"/>
          <w:lang w:eastAsia="zh-CN"/>
        </w:rPr>
        <w:t>SI</w:t>
      </w:r>
      <w:r w:rsidRPr="00F644CF">
        <w:rPr>
          <w:rFonts w:eastAsia="SimSun"/>
          <w:b/>
          <w:sz w:val="24"/>
          <w:szCs w:val="24"/>
          <w:lang w:eastAsia="zh-CN"/>
        </w:rPr>
        <w:t xml:space="preserve">, </w:t>
      </w:r>
      <w:r>
        <w:rPr>
          <w:rFonts w:eastAsia="SimSun"/>
          <w:b/>
          <w:sz w:val="24"/>
          <w:szCs w:val="24"/>
          <w:lang w:eastAsia="zh-CN"/>
        </w:rPr>
        <w:t>26</w:t>
      </w:r>
      <w:r w:rsidRPr="0022145D">
        <w:rPr>
          <w:rFonts w:eastAsia="SimSun"/>
          <w:b/>
          <w:sz w:val="24"/>
          <w:szCs w:val="24"/>
          <w:vertAlign w:val="superscript"/>
          <w:lang w:eastAsia="zh-CN"/>
        </w:rPr>
        <w:t>th</w:t>
      </w:r>
      <w:r>
        <w:rPr>
          <w:rFonts w:eastAsia="SimSun"/>
          <w:b/>
          <w:sz w:val="24"/>
          <w:szCs w:val="24"/>
          <w:lang w:eastAsia="zh-CN"/>
        </w:rPr>
        <w:t>–</w:t>
      </w:r>
      <w:r w:rsidRPr="00F644CF">
        <w:rPr>
          <w:rFonts w:eastAsia="SimSun" w:hint="eastAsia"/>
          <w:b/>
          <w:sz w:val="24"/>
          <w:szCs w:val="24"/>
          <w:lang w:eastAsia="zh-CN"/>
        </w:rPr>
        <w:t xml:space="preserve"> </w:t>
      </w:r>
      <w:r>
        <w:rPr>
          <w:rFonts w:eastAsia="SimSun"/>
          <w:b/>
          <w:sz w:val="24"/>
          <w:szCs w:val="24"/>
          <w:lang w:eastAsia="zh-CN"/>
        </w:rPr>
        <w:t>30</w:t>
      </w:r>
      <w:r>
        <w:rPr>
          <w:rFonts w:eastAsia="SimSun"/>
          <w:b/>
          <w:sz w:val="24"/>
          <w:szCs w:val="24"/>
          <w:vertAlign w:val="superscript"/>
          <w:lang w:eastAsia="zh-CN"/>
        </w:rPr>
        <w:t>th</w:t>
      </w:r>
      <w:r>
        <w:rPr>
          <w:rFonts w:eastAsia="SimSun"/>
          <w:b/>
          <w:sz w:val="24"/>
          <w:szCs w:val="24"/>
          <w:lang w:eastAsia="zh-CN"/>
        </w:rPr>
        <w:t xml:space="preserve"> </w:t>
      </w:r>
      <w:proofErr w:type="gramStart"/>
      <w:r>
        <w:rPr>
          <w:rFonts w:eastAsia="SimSun"/>
          <w:b/>
          <w:sz w:val="24"/>
          <w:szCs w:val="24"/>
          <w:lang w:eastAsia="zh-CN"/>
        </w:rPr>
        <w:t>Aug</w:t>
      </w:r>
      <w:r w:rsidRPr="00F644CF">
        <w:rPr>
          <w:rFonts w:eastAsia="SimSun"/>
          <w:b/>
          <w:sz w:val="24"/>
          <w:szCs w:val="24"/>
          <w:lang w:eastAsia="zh-CN"/>
        </w:rPr>
        <w:t>,</w:t>
      </w:r>
      <w:proofErr w:type="gramEnd"/>
      <w:r w:rsidRPr="00F644CF">
        <w:rPr>
          <w:rFonts w:eastAsia="SimSun"/>
          <w:b/>
          <w:sz w:val="24"/>
          <w:szCs w:val="24"/>
          <w:lang w:eastAsia="zh-CN"/>
        </w:rPr>
        <w:t xml:space="preserve"> 201</w:t>
      </w:r>
      <w:r>
        <w:rPr>
          <w:rFonts w:eastAsia="SimSun"/>
          <w:b/>
          <w:sz w:val="24"/>
          <w:szCs w:val="24"/>
          <w:lang w:eastAsia="zh-CN"/>
        </w:rPr>
        <w:t>9</w:t>
      </w:r>
    </w:p>
    <w:p w14:paraId="7CBC96EA" w14:textId="77777777" w:rsidR="0015319D" w:rsidRDefault="0015319D" w:rsidP="002D479B">
      <w:pPr>
        <w:ind w:left="1800" w:hanging="1800"/>
        <w:rPr>
          <w:b/>
          <w:sz w:val="24"/>
          <w:szCs w:val="24"/>
        </w:rPr>
      </w:pPr>
    </w:p>
    <w:p w14:paraId="69F694AD" w14:textId="1FEE2756" w:rsidR="0060603E" w:rsidRPr="00212204" w:rsidRDefault="0060603E" w:rsidP="002D479B">
      <w:pPr>
        <w:ind w:left="1800" w:hanging="1800"/>
        <w:rPr>
          <w:b/>
          <w:sz w:val="24"/>
          <w:szCs w:val="24"/>
        </w:rPr>
      </w:pPr>
      <w:r w:rsidRPr="00212204">
        <w:rPr>
          <w:b/>
          <w:sz w:val="24"/>
          <w:szCs w:val="24"/>
        </w:rPr>
        <w:t>Agenda Item:</w:t>
      </w:r>
      <w:bookmarkStart w:id="0" w:name="Source"/>
      <w:bookmarkEnd w:id="0"/>
      <w:r w:rsidR="00E67F4E" w:rsidRPr="0015319D">
        <w:rPr>
          <w:b/>
          <w:sz w:val="24"/>
          <w:szCs w:val="24"/>
        </w:rPr>
        <w:t xml:space="preserve">   </w:t>
      </w:r>
      <w:r w:rsidR="000B39AA">
        <w:rPr>
          <w:b/>
          <w:sz w:val="24"/>
          <w:szCs w:val="24"/>
        </w:rPr>
        <w:t>9</w:t>
      </w:r>
      <w:r w:rsidR="00FD6C05">
        <w:rPr>
          <w:b/>
          <w:sz w:val="24"/>
          <w:szCs w:val="24"/>
        </w:rPr>
        <w:t>.5.</w:t>
      </w:r>
      <w:r w:rsidR="008B0924">
        <w:rPr>
          <w:b/>
          <w:sz w:val="24"/>
          <w:szCs w:val="24"/>
        </w:rPr>
        <w:t>2</w:t>
      </w:r>
    </w:p>
    <w:p w14:paraId="33B2B2D9" w14:textId="77777777" w:rsidR="00CE0C9D" w:rsidRPr="0015319D" w:rsidRDefault="00E67F4E" w:rsidP="002D479B">
      <w:pPr>
        <w:ind w:left="1800" w:hanging="1800"/>
        <w:rPr>
          <w:b/>
          <w:sz w:val="24"/>
          <w:szCs w:val="24"/>
        </w:rPr>
      </w:pPr>
      <w:r>
        <w:rPr>
          <w:b/>
          <w:sz w:val="24"/>
          <w:szCs w:val="24"/>
        </w:rPr>
        <w:t xml:space="preserve">Source:            </w:t>
      </w:r>
      <w:r w:rsidR="00AB7FC6" w:rsidRPr="00212204">
        <w:rPr>
          <w:b/>
          <w:sz w:val="24"/>
          <w:szCs w:val="24"/>
        </w:rPr>
        <w:t>AT&amp;T</w:t>
      </w:r>
    </w:p>
    <w:p w14:paraId="69840E4A" w14:textId="77777777" w:rsidR="00812560" w:rsidRDefault="0060603E" w:rsidP="0015319D">
      <w:pPr>
        <w:ind w:left="1800" w:hanging="1800"/>
        <w:rPr>
          <w:b/>
          <w:sz w:val="24"/>
          <w:szCs w:val="24"/>
        </w:rPr>
      </w:pPr>
      <w:r w:rsidRPr="00212204">
        <w:rPr>
          <w:b/>
          <w:sz w:val="24"/>
          <w:szCs w:val="24"/>
        </w:rPr>
        <w:t>Title:</w:t>
      </w:r>
      <w:r w:rsidR="0015319D">
        <w:rPr>
          <w:b/>
          <w:sz w:val="24"/>
          <w:szCs w:val="24"/>
        </w:rPr>
        <w:t xml:space="preserve">                 </w:t>
      </w:r>
      <w:r w:rsidR="008B0924">
        <w:rPr>
          <w:b/>
          <w:sz w:val="24"/>
          <w:szCs w:val="24"/>
        </w:rPr>
        <w:t xml:space="preserve">Co-existence </w:t>
      </w:r>
      <w:r w:rsidR="00FD6C05" w:rsidRPr="00FD6C05">
        <w:rPr>
          <w:b/>
          <w:sz w:val="24"/>
          <w:szCs w:val="24"/>
        </w:rPr>
        <w:t>scenarios for IAB</w:t>
      </w:r>
    </w:p>
    <w:p w14:paraId="0A251676" w14:textId="77777777" w:rsidR="002D479B" w:rsidRPr="00812560" w:rsidRDefault="0060603E" w:rsidP="0015319D">
      <w:pPr>
        <w:ind w:left="1800" w:hanging="1800"/>
        <w:rPr>
          <w:b/>
          <w:sz w:val="24"/>
          <w:szCs w:val="24"/>
        </w:rPr>
      </w:pPr>
      <w:r w:rsidRPr="00212204">
        <w:rPr>
          <w:b/>
          <w:sz w:val="24"/>
          <w:szCs w:val="24"/>
        </w:rPr>
        <w:t>Document for</w:t>
      </w:r>
      <w:bookmarkStart w:id="1" w:name="DocumentFor"/>
      <w:bookmarkEnd w:id="1"/>
      <w:r w:rsidR="00E67F4E">
        <w:rPr>
          <w:b/>
          <w:sz w:val="24"/>
          <w:szCs w:val="24"/>
        </w:rPr>
        <w:t xml:space="preserve">: </w:t>
      </w:r>
      <w:r w:rsidR="000052FF" w:rsidRPr="00212204">
        <w:rPr>
          <w:b/>
          <w:sz w:val="24"/>
          <w:szCs w:val="24"/>
        </w:rPr>
        <w:t>Discussion/</w:t>
      </w:r>
      <w:r w:rsidRPr="00212204">
        <w:rPr>
          <w:b/>
          <w:sz w:val="24"/>
          <w:szCs w:val="24"/>
        </w:rPr>
        <w:t>Approval</w:t>
      </w:r>
    </w:p>
    <w:p w14:paraId="4BDB5DB8" w14:textId="77777777" w:rsidR="00A64CF7" w:rsidRPr="00A11840" w:rsidRDefault="00A64CF7" w:rsidP="00424124">
      <w:pPr>
        <w:pStyle w:val="NoSpacing"/>
        <w:jc w:val="left"/>
        <w:rPr>
          <w:sz w:val="16"/>
          <w:szCs w:val="16"/>
        </w:rPr>
      </w:pPr>
    </w:p>
    <w:p w14:paraId="39A7462B" w14:textId="77777777" w:rsidR="00707D20" w:rsidRPr="00172743" w:rsidRDefault="00424124" w:rsidP="00326FF6">
      <w:pPr>
        <w:pStyle w:val="Heading1"/>
      </w:pPr>
      <w:r w:rsidRPr="00172743">
        <w:t>Introduction</w:t>
      </w:r>
    </w:p>
    <w:p w14:paraId="613BAFCB" w14:textId="77777777" w:rsidR="00CB4FDD" w:rsidRPr="00233D70" w:rsidRDefault="00CB4FDD" w:rsidP="00CB4FDD">
      <w:pPr>
        <w:pStyle w:val="maintext"/>
        <w:ind w:firstLine="400"/>
        <w:rPr>
          <w:rFonts w:ascii="Calibri" w:hAnsi="Calibri"/>
        </w:rPr>
      </w:pPr>
      <w:r w:rsidRPr="004131D6">
        <w:rPr>
          <w:rFonts w:ascii="Calibri" w:hAnsi="Calibri"/>
        </w:rPr>
        <w:t>As part of the Work Item on Integrated Access and Backhaul for NR [1], 3GPP has agreed to support solutions for efficient operation of integrated access and wireless backhaul for NR</w:t>
      </w:r>
      <w:r>
        <w:rPr>
          <w:rFonts w:ascii="Calibri" w:hAnsi="Calibri"/>
        </w:rPr>
        <w:t>.</w:t>
      </w:r>
      <w:r w:rsidRPr="004131D6">
        <w:rPr>
          <w:rFonts w:ascii="Calibri" w:hAnsi="Calibri"/>
        </w:rPr>
        <w:t xml:space="preserve"> </w:t>
      </w:r>
      <w:r w:rsidRPr="00233D70">
        <w:rPr>
          <w:rFonts w:ascii="Calibri" w:hAnsi="Calibri"/>
        </w:rPr>
        <w:t>This d</w:t>
      </w:r>
      <w:r>
        <w:rPr>
          <w:rFonts w:ascii="Calibri" w:hAnsi="Calibri"/>
        </w:rPr>
        <w:t>ocument provides an overview of the key co-existence scenarios for IAB for evaluations and the definition of requirements in RAN4.</w:t>
      </w:r>
    </w:p>
    <w:p w14:paraId="49D3E639" w14:textId="77777777" w:rsidR="00346605" w:rsidRPr="00172743" w:rsidRDefault="00CB4FDD" w:rsidP="00326FF6">
      <w:pPr>
        <w:pStyle w:val="Heading1"/>
      </w:pPr>
      <w:r>
        <w:t>Co-existence scenarios for IAB</w:t>
      </w:r>
    </w:p>
    <w:p w14:paraId="6133ECA0" w14:textId="6BABEBF5" w:rsidR="00C134F3" w:rsidRDefault="00C134F3" w:rsidP="00E86F47">
      <w:pPr>
        <w:pStyle w:val="maintext"/>
        <w:ind w:firstLine="400"/>
        <w:rPr>
          <w:rFonts w:ascii="Calibri" w:hAnsi="Calibri"/>
        </w:rPr>
      </w:pPr>
      <w:r>
        <w:rPr>
          <w:rFonts w:ascii="Calibri" w:hAnsi="Calibri"/>
        </w:rPr>
        <w:t xml:space="preserve">Evaluating the impact of IAB operation on adjacent spectrum bands is an important objective of the WI. Selecting the simulation assumptions is critical to balance the need for realistic modelling with a reasonable workload for conducting the evaluations. </w:t>
      </w:r>
      <w:r w:rsidR="00EA54FD">
        <w:rPr>
          <w:rFonts w:ascii="Calibri" w:hAnsi="Calibri"/>
        </w:rPr>
        <w:t>During RAN4#91 the following was agreed as part of the coexistence simulation assumptions:</w:t>
      </w:r>
    </w:p>
    <w:p w14:paraId="763C3CA2" w14:textId="77777777" w:rsidR="00EA54FD" w:rsidRPr="00EA54FD" w:rsidRDefault="00EA54FD" w:rsidP="00EA54FD">
      <w:pPr>
        <w:pStyle w:val="maintext"/>
        <w:numPr>
          <w:ilvl w:val="0"/>
          <w:numId w:val="13"/>
        </w:numPr>
        <w:ind w:firstLine="400"/>
        <w:rPr>
          <w:rFonts w:ascii="Calibri" w:hAnsi="Calibri"/>
          <w:lang w:val="en-US"/>
        </w:rPr>
      </w:pPr>
      <w:r w:rsidRPr="00EA54FD">
        <w:rPr>
          <w:rFonts w:ascii="Calibri" w:hAnsi="Calibri"/>
          <w:lang w:val="en-US"/>
        </w:rPr>
        <w:t>Topology is based on RSRP (based on pathloss and element antenna gain)</w:t>
      </w:r>
    </w:p>
    <w:p w14:paraId="7FEEFB5F" w14:textId="77777777" w:rsidR="00EA54FD" w:rsidRPr="00EA54FD" w:rsidRDefault="00EA54FD" w:rsidP="00EA54FD">
      <w:pPr>
        <w:pStyle w:val="maintext"/>
        <w:numPr>
          <w:ilvl w:val="0"/>
          <w:numId w:val="13"/>
        </w:numPr>
        <w:ind w:firstLine="400"/>
        <w:rPr>
          <w:rFonts w:ascii="Calibri" w:hAnsi="Calibri"/>
          <w:lang w:val="en-US"/>
        </w:rPr>
      </w:pPr>
      <w:r w:rsidRPr="00EA54FD">
        <w:rPr>
          <w:rFonts w:ascii="Calibri" w:hAnsi="Calibri"/>
          <w:u w:val="single"/>
        </w:rPr>
        <w:t>FFS activity factor</w:t>
      </w:r>
    </w:p>
    <w:p w14:paraId="29306C2C" w14:textId="77777777" w:rsidR="009E264F" w:rsidRDefault="007D3A4A" w:rsidP="00A230FD">
      <w:pPr>
        <w:pStyle w:val="maintext"/>
        <w:ind w:firstLineChars="0" w:firstLine="0"/>
        <w:rPr>
          <w:rFonts w:ascii="Calibri" w:hAnsi="Calibri"/>
        </w:rPr>
      </w:pPr>
      <w:r>
        <w:rPr>
          <w:rFonts w:ascii="Calibri" w:hAnsi="Calibri"/>
        </w:rPr>
        <w:t xml:space="preserve">One additional question which is especially relevant for IAB is the activity level of the different access and backhaul links served by the IAB nodes and IAB donor nodes. Due to the nature of the multi-hop topology, it is a reasonable assumption that the activity level of a given IAB node is the distance from the donor (e.g. the probability that an IAB node is active decreases as hop order increases). </w:t>
      </w:r>
    </w:p>
    <w:p w14:paraId="572B38D5" w14:textId="5CD8BD07" w:rsidR="009E264F" w:rsidRDefault="009E264F" w:rsidP="00A230FD">
      <w:pPr>
        <w:pStyle w:val="maintext"/>
        <w:ind w:firstLineChars="0" w:firstLine="0"/>
        <w:rPr>
          <w:rFonts w:ascii="Calibri" w:hAnsi="Calibri"/>
        </w:rPr>
      </w:pPr>
      <w:proofErr w:type="gramStart"/>
      <w:r>
        <w:rPr>
          <w:rFonts w:ascii="Calibri" w:hAnsi="Calibri"/>
        </w:rPr>
        <w:t>Typically</w:t>
      </w:r>
      <w:proofErr w:type="gramEnd"/>
      <w:r w:rsidR="007D3A4A">
        <w:rPr>
          <w:rFonts w:ascii="Calibri" w:hAnsi="Calibri"/>
        </w:rPr>
        <w:t xml:space="preserve"> the IAB donor will be </w:t>
      </w:r>
      <w:r w:rsidR="00702A43">
        <w:rPr>
          <w:rFonts w:ascii="Calibri" w:hAnsi="Calibri"/>
        </w:rPr>
        <w:t>the most</w:t>
      </w:r>
      <w:r w:rsidR="007D3A4A">
        <w:rPr>
          <w:rFonts w:ascii="Calibri" w:hAnsi="Calibri"/>
        </w:rPr>
        <w:t xml:space="preserve"> active on the DL and UL resources assuming a moderate to large topology is managed underneath it. However, the contribution of the donor nodes to the adjacent channel interference is no different than in the case a non-IAB network is evaluated, since the donor nodes do not have their own UL transmissions (e.g. no MT functionality), so the key aspect is to accurately model the IAB node activity level. </w:t>
      </w:r>
      <w:r>
        <w:rPr>
          <w:rFonts w:ascii="Calibri" w:hAnsi="Calibri"/>
        </w:rPr>
        <w:t>Figure 1 below shows the distribution of DL Resource Utilization for an IAB network according to Layout 2 in the agreed IAB assumptions with a system load of 100Mbps.</w:t>
      </w:r>
    </w:p>
    <w:p w14:paraId="01D8A5F1" w14:textId="77777777" w:rsidR="009E264F" w:rsidRDefault="009E264F" w:rsidP="00A230FD">
      <w:pPr>
        <w:pStyle w:val="maintext"/>
        <w:ind w:firstLineChars="0" w:firstLine="0"/>
        <w:rPr>
          <w:rFonts w:ascii="Calibri" w:hAnsi="Calibri"/>
        </w:rPr>
      </w:pPr>
    </w:p>
    <w:p w14:paraId="68EF3D1C" w14:textId="0F10CFDE" w:rsidR="009E264F" w:rsidRDefault="009E264F" w:rsidP="009E264F">
      <w:pPr>
        <w:pStyle w:val="maintext"/>
        <w:ind w:firstLineChars="0" w:firstLine="0"/>
        <w:jc w:val="center"/>
        <w:rPr>
          <w:rFonts w:ascii="Calibri" w:hAnsi="Calibri"/>
        </w:rPr>
      </w:pPr>
      <w:r>
        <w:rPr>
          <w:noProof/>
        </w:rPr>
        <w:drawing>
          <wp:inline distT="0" distB="0" distL="0" distR="0" wp14:anchorId="13032788" wp14:editId="573DD6B4">
            <wp:extent cx="4600575" cy="2171700"/>
            <wp:effectExtent l="0" t="0" r="9525" b="0"/>
            <wp:docPr id="1" name="Chart 1">
              <a:extLst xmlns:a="http://schemas.openxmlformats.org/drawingml/2006/main">
                <a:ext uri="{FF2B5EF4-FFF2-40B4-BE49-F238E27FC236}">
                  <a16:creationId xmlns:a16="http://schemas.microsoft.com/office/drawing/2014/main" id="{1192F235-488C-41E3-8F7A-7AD3DCD55B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3A0DF34" w14:textId="4382A8F8" w:rsidR="009E264F" w:rsidRDefault="009E264F" w:rsidP="009E264F">
      <w:pPr>
        <w:pStyle w:val="maintext"/>
        <w:ind w:firstLineChars="0" w:firstLine="0"/>
        <w:jc w:val="center"/>
        <w:rPr>
          <w:rFonts w:ascii="Calibri" w:hAnsi="Calibri"/>
        </w:rPr>
      </w:pPr>
      <w:r>
        <w:rPr>
          <w:rFonts w:ascii="Calibri" w:hAnsi="Calibri"/>
          <w:b/>
        </w:rPr>
        <w:t>Figure 1. Distribution of DL resource utilization for an IAB network with 100Mbps system load</w:t>
      </w:r>
    </w:p>
    <w:p w14:paraId="67BD60D8" w14:textId="2F5BE711" w:rsidR="007D3A4A" w:rsidRDefault="007D3A4A" w:rsidP="00A230FD">
      <w:pPr>
        <w:pStyle w:val="maintext"/>
        <w:ind w:firstLineChars="0" w:firstLine="0"/>
        <w:rPr>
          <w:rFonts w:ascii="Calibri" w:hAnsi="Calibri"/>
        </w:rPr>
      </w:pPr>
      <w:r>
        <w:rPr>
          <w:rFonts w:ascii="Calibri" w:hAnsi="Calibri"/>
        </w:rPr>
        <w:lastRenderedPageBreak/>
        <w:t>A</w:t>
      </w:r>
      <w:r w:rsidR="009E264F">
        <w:rPr>
          <w:rFonts w:ascii="Calibri" w:hAnsi="Calibri"/>
        </w:rPr>
        <w:t xml:space="preserve">s can be seen from the results in Figure 1, there is a large variance between the Max and Average RU values due to the multi-hop nature of the network and finite buffer traffic assumption. As expected, the maximum RU of the donor cells exceed the maximum RU of the IAB nodes on the first two hops by over 10% and a significant amount for IAB nodes which are 3 hops away from the donor. A </w:t>
      </w:r>
      <w:r>
        <w:rPr>
          <w:rFonts w:ascii="Calibri" w:hAnsi="Calibri"/>
        </w:rPr>
        <w:t xml:space="preserve">statistical model </w:t>
      </w:r>
      <w:r w:rsidR="009E264F">
        <w:rPr>
          <w:rFonts w:ascii="Calibri" w:hAnsi="Calibri"/>
        </w:rPr>
        <w:t>of the RU distribution should</w:t>
      </w:r>
      <w:r>
        <w:rPr>
          <w:rFonts w:ascii="Calibri" w:hAnsi="Calibri"/>
        </w:rPr>
        <w:t xml:space="preserve"> be derived by running basic system-level </w:t>
      </w:r>
      <w:r w:rsidR="009E264F">
        <w:rPr>
          <w:rFonts w:ascii="Calibri" w:hAnsi="Calibri"/>
        </w:rPr>
        <w:t xml:space="preserve">simulations </w:t>
      </w:r>
      <w:proofErr w:type="gramStart"/>
      <w:r w:rsidR="009E264F">
        <w:rPr>
          <w:rFonts w:ascii="Calibri" w:hAnsi="Calibri"/>
        </w:rPr>
        <w:t>taking into account</w:t>
      </w:r>
      <w:proofErr w:type="gramEnd"/>
      <w:r w:rsidR="009E264F">
        <w:rPr>
          <w:rFonts w:ascii="Calibri" w:hAnsi="Calibri"/>
        </w:rPr>
        <w:t xml:space="preserve"> multiple load points (e.g. low, medium, and high load).</w:t>
      </w:r>
    </w:p>
    <w:p w14:paraId="673937DA" w14:textId="384F13B5" w:rsidR="00AC6C0F" w:rsidRDefault="007D3A4A" w:rsidP="00AC6C0F">
      <w:pPr>
        <w:pStyle w:val="maintext"/>
        <w:ind w:firstLineChars="0" w:firstLine="0"/>
        <w:rPr>
          <w:rFonts w:ascii="Calibri" w:hAnsi="Calibri"/>
          <w:b/>
        </w:rPr>
      </w:pPr>
      <w:r>
        <w:rPr>
          <w:rFonts w:ascii="Calibri" w:hAnsi="Calibri"/>
          <w:b/>
        </w:rPr>
        <w:t xml:space="preserve">Proposal </w:t>
      </w:r>
      <w:r w:rsidR="00EA54FD">
        <w:rPr>
          <w:rFonts w:ascii="Calibri" w:hAnsi="Calibri"/>
          <w:b/>
        </w:rPr>
        <w:t>1</w:t>
      </w:r>
      <w:r>
        <w:rPr>
          <w:rFonts w:ascii="Calibri" w:hAnsi="Calibri"/>
          <w:b/>
        </w:rPr>
        <w:t xml:space="preserve">: </w:t>
      </w:r>
      <w:r>
        <w:rPr>
          <w:rFonts w:ascii="Calibri" w:hAnsi="Calibri"/>
        </w:rPr>
        <w:t xml:space="preserve"> </w:t>
      </w:r>
      <w:r w:rsidRPr="007D3A4A">
        <w:rPr>
          <w:rFonts w:ascii="Calibri" w:hAnsi="Calibri"/>
          <w:b/>
        </w:rPr>
        <w:t>For the purpose of co-existence evaluations, the IAB donor nodes can be assume</w:t>
      </w:r>
      <w:r>
        <w:rPr>
          <w:rFonts w:ascii="Calibri" w:hAnsi="Calibri"/>
          <w:b/>
        </w:rPr>
        <w:t>d</w:t>
      </w:r>
      <w:r w:rsidRPr="007D3A4A">
        <w:rPr>
          <w:rFonts w:ascii="Calibri" w:hAnsi="Calibri"/>
          <w:b/>
        </w:rPr>
        <w:t xml:space="preserve"> to be always active</w:t>
      </w:r>
      <w:r>
        <w:rPr>
          <w:rFonts w:ascii="Calibri" w:hAnsi="Calibri"/>
          <w:b/>
        </w:rPr>
        <w:t xml:space="preserve"> and the probability that given IAB node is active should be a function of </w:t>
      </w:r>
      <w:r w:rsidR="00AC6C0F">
        <w:rPr>
          <w:rFonts w:ascii="Calibri" w:hAnsi="Calibri"/>
          <w:b/>
        </w:rPr>
        <w:t>hop order and subject to the half-duplex constraint.</w:t>
      </w:r>
    </w:p>
    <w:p w14:paraId="105819E0" w14:textId="77777777" w:rsidR="00CB4FDD" w:rsidRPr="00172743" w:rsidRDefault="00CB4FDD" w:rsidP="00CB4FDD">
      <w:pPr>
        <w:pStyle w:val="Heading1"/>
      </w:pPr>
      <w:r w:rsidRPr="00172743">
        <w:t>Conclusion</w:t>
      </w:r>
    </w:p>
    <w:p w14:paraId="1EE55283" w14:textId="77777777" w:rsidR="00CB4FDD" w:rsidRDefault="00CB4FDD" w:rsidP="00CB4FDD">
      <w:pPr>
        <w:spacing w:before="0" w:after="0"/>
        <w:rPr>
          <w:rFonts w:ascii="Calibri" w:hAnsi="Calibri"/>
        </w:rPr>
      </w:pPr>
      <w:r w:rsidRPr="00233D70">
        <w:rPr>
          <w:rFonts w:ascii="Calibri" w:hAnsi="Calibri"/>
        </w:rPr>
        <w:t>This d</w:t>
      </w:r>
      <w:r>
        <w:rPr>
          <w:rFonts w:ascii="Calibri" w:hAnsi="Calibri"/>
        </w:rPr>
        <w:t>ocument provides an overview of the key co-existence scenarios for IAB. The following proposals were made:</w:t>
      </w:r>
    </w:p>
    <w:p w14:paraId="48B2E28C" w14:textId="2D4E66C9" w:rsidR="00AC6C0F" w:rsidRDefault="00AC6C0F" w:rsidP="00AC6C0F">
      <w:pPr>
        <w:pStyle w:val="maintext"/>
        <w:ind w:firstLineChars="0" w:firstLine="0"/>
        <w:rPr>
          <w:rFonts w:ascii="Calibri" w:hAnsi="Calibri"/>
          <w:b/>
        </w:rPr>
      </w:pPr>
      <w:r>
        <w:rPr>
          <w:rFonts w:ascii="Calibri" w:hAnsi="Calibri"/>
          <w:b/>
        </w:rPr>
        <w:t xml:space="preserve">Proposal </w:t>
      </w:r>
      <w:r w:rsidR="00EA54FD">
        <w:rPr>
          <w:rFonts w:ascii="Calibri" w:hAnsi="Calibri"/>
          <w:b/>
        </w:rPr>
        <w:t>1</w:t>
      </w:r>
      <w:r>
        <w:rPr>
          <w:rFonts w:ascii="Calibri" w:hAnsi="Calibri"/>
          <w:b/>
        </w:rPr>
        <w:t xml:space="preserve">: </w:t>
      </w:r>
      <w:r>
        <w:rPr>
          <w:rFonts w:ascii="Calibri" w:hAnsi="Calibri"/>
        </w:rPr>
        <w:t xml:space="preserve"> </w:t>
      </w:r>
      <w:r w:rsidRPr="007D3A4A">
        <w:rPr>
          <w:rFonts w:ascii="Calibri" w:hAnsi="Calibri"/>
          <w:b/>
        </w:rPr>
        <w:t>For the purpose of co-existence evaluations, the IAB donor nodes can be assume</w:t>
      </w:r>
      <w:r>
        <w:rPr>
          <w:rFonts w:ascii="Calibri" w:hAnsi="Calibri"/>
          <w:b/>
        </w:rPr>
        <w:t>d</w:t>
      </w:r>
      <w:r w:rsidRPr="007D3A4A">
        <w:rPr>
          <w:rFonts w:ascii="Calibri" w:hAnsi="Calibri"/>
          <w:b/>
        </w:rPr>
        <w:t xml:space="preserve"> to be always active</w:t>
      </w:r>
      <w:r>
        <w:rPr>
          <w:rFonts w:ascii="Calibri" w:hAnsi="Calibri"/>
          <w:b/>
        </w:rPr>
        <w:t xml:space="preserve"> and the probability that given IAB node is active should be a function of hop order and subject to the half-duplex constraint.</w:t>
      </w:r>
    </w:p>
    <w:p w14:paraId="3F3CDA71" w14:textId="77777777" w:rsidR="00CB4FDD" w:rsidRDefault="00CB4FDD" w:rsidP="00CB4FDD">
      <w:pPr>
        <w:spacing w:before="0" w:after="0"/>
        <w:rPr>
          <w:rFonts w:ascii="Calibri" w:hAnsi="Calibri"/>
        </w:rPr>
      </w:pPr>
    </w:p>
    <w:p w14:paraId="1C94F233" w14:textId="77777777" w:rsidR="00CB4FDD" w:rsidRPr="0076067D" w:rsidRDefault="00CB4FDD" w:rsidP="00CB4FDD">
      <w:pPr>
        <w:pStyle w:val="Heading1"/>
      </w:pPr>
      <w:r>
        <w:t>Reference</w:t>
      </w:r>
    </w:p>
    <w:p w14:paraId="191C5D81" w14:textId="77777777" w:rsidR="00CB4FDD" w:rsidRDefault="00CB4FDD" w:rsidP="00CB4FDD">
      <w:pPr>
        <w:pStyle w:val="2222"/>
        <w:spacing w:after="120" w:line="288" w:lineRule="auto"/>
        <w:ind w:firstLineChars="0" w:firstLine="0"/>
        <w:jc w:val="left"/>
        <w:rPr>
          <w:rFonts w:cs="Times New Roman"/>
          <w:lang w:eastAsia="ko-KR"/>
        </w:rPr>
      </w:pPr>
      <w:r>
        <w:rPr>
          <w:rFonts w:cs="Times New Roman"/>
          <w:lang w:eastAsia="ko-KR"/>
        </w:rPr>
        <w:t xml:space="preserve">[1] RP-182882, </w:t>
      </w:r>
      <w:r w:rsidRPr="004131D6">
        <w:rPr>
          <w:rFonts w:cs="Times New Roman"/>
          <w:lang w:eastAsia="ko-KR"/>
        </w:rPr>
        <w:t>New WID: Integrated Access and Backhaul for NR</w:t>
      </w:r>
      <w:r>
        <w:rPr>
          <w:rFonts w:cs="Times New Roman"/>
          <w:lang w:eastAsia="ko-KR"/>
        </w:rPr>
        <w:t>, Qu</w:t>
      </w:r>
      <w:bookmarkStart w:id="2" w:name="_GoBack"/>
      <w:bookmarkEnd w:id="2"/>
      <w:r>
        <w:rPr>
          <w:rFonts w:cs="Times New Roman"/>
          <w:lang w:eastAsia="ko-KR"/>
        </w:rPr>
        <w:t>alcomm</w:t>
      </w:r>
    </w:p>
    <w:sectPr w:rsidR="00CB4FD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5CB0F" w14:textId="77777777" w:rsidR="000703CC" w:rsidRDefault="000703CC" w:rsidP="00424124">
      <w:pPr>
        <w:spacing w:before="0" w:after="0"/>
      </w:pPr>
      <w:r>
        <w:separator/>
      </w:r>
    </w:p>
  </w:endnote>
  <w:endnote w:type="continuationSeparator" w:id="0">
    <w:p w14:paraId="7F6311DD" w14:textId="77777777" w:rsidR="000703CC" w:rsidRDefault="000703C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A7331" w14:textId="77777777" w:rsidR="000703CC" w:rsidRDefault="000703CC" w:rsidP="00424124">
      <w:pPr>
        <w:spacing w:before="0" w:after="0"/>
      </w:pPr>
      <w:r>
        <w:separator/>
      </w:r>
    </w:p>
  </w:footnote>
  <w:footnote w:type="continuationSeparator" w:id="0">
    <w:p w14:paraId="14A8DA89" w14:textId="77777777" w:rsidR="000703CC" w:rsidRDefault="000703CC"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01996"/>
    <w:multiLevelType w:val="hybridMultilevel"/>
    <w:tmpl w:val="9B22EC4A"/>
    <w:lvl w:ilvl="0" w:tplc="644C50AC">
      <w:start w:val="1"/>
      <w:numFmt w:val="decimal"/>
      <w:lvlText w:val="%1."/>
      <w:lvlJc w:val="left"/>
      <w:pPr>
        <w:tabs>
          <w:tab w:val="num" w:pos="0"/>
        </w:tabs>
        <w:ind w:left="0" w:hanging="360"/>
      </w:pPr>
    </w:lvl>
    <w:lvl w:ilvl="1" w:tplc="25C8BBA2">
      <w:start w:val="62"/>
      <w:numFmt w:val="bullet"/>
      <w:lvlText w:val="–"/>
      <w:lvlJc w:val="left"/>
      <w:pPr>
        <w:tabs>
          <w:tab w:val="num" w:pos="720"/>
        </w:tabs>
        <w:ind w:left="720" w:hanging="360"/>
      </w:pPr>
      <w:rPr>
        <w:rFonts w:ascii="Arial" w:hAnsi="Arial" w:hint="default"/>
      </w:rPr>
    </w:lvl>
    <w:lvl w:ilvl="2" w:tplc="A77836A8" w:tentative="1">
      <w:start w:val="1"/>
      <w:numFmt w:val="decimal"/>
      <w:lvlText w:val="%3."/>
      <w:lvlJc w:val="left"/>
      <w:pPr>
        <w:tabs>
          <w:tab w:val="num" w:pos="1440"/>
        </w:tabs>
        <w:ind w:left="1440" w:hanging="360"/>
      </w:pPr>
    </w:lvl>
    <w:lvl w:ilvl="3" w:tplc="40F2D430" w:tentative="1">
      <w:start w:val="1"/>
      <w:numFmt w:val="decimal"/>
      <w:lvlText w:val="%4."/>
      <w:lvlJc w:val="left"/>
      <w:pPr>
        <w:tabs>
          <w:tab w:val="num" w:pos="2160"/>
        </w:tabs>
        <w:ind w:left="2160" w:hanging="360"/>
      </w:pPr>
    </w:lvl>
    <w:lvl w:ilvl="4" w:tplc="EF6EE9AC" w:tentative="1">
      <w:start w:val="1"/>
      <w:numFmt w:val="decimal"/>
      <w:lvlText w:val="%5."/>
      <w:lvlJc w:val="left"/>
      <w:pPr>
        <w:tabs>
          <w:tab w:val="num" w:pos="2880"/>
        </w:tabs>
        <w:ind w:left="2880" w:hanging="360"/>
      </w:pPr>
    </w:lvl>
    <w:lvl w:ilvl="5" w:tplc="127C64EE" w:tentative="1">
      <w:start w:val="1"/>
      <w:numFmt w:val="decimal"/>
      <w:lvlText w:val="%6."/>
      <w:lvlJc w:val="left"/>
      <w:pPr>
        <w:tabs>
          <w:tab w:val="num" w:pos="3600"/>
        </w:tabs>
        <w:ind w:left="3600" w:hanging="360"/>
      </w:pPr>
    </w:lvl>
    <w:lvl w:ilvl="6" w:tplc="7996F61A" w:tentative="1">
      <w:start w:val="1"/>
      <w:numFmt w:val="decimal"/>
      <w:lvlText w:val="%7."/>
      <w:lvlJc w:val="left"/>
      <w:pPr>
        <w:tabs>
          <w:tab w:val="num" w:pos="4320"/>
        </w:tabs>
        <w:ind w:left="4320" w:hanging="360"/>
      </w:pPr>
    </w:lvl>
    <w:lvl w:ilvl="7" w:tplc="006C87A0" w:tentative="1">
      <w:start w:val="1"/>
      <w:numFmt w:val="decimal"/>
      <w:lvlText w:val="%8."/>
      <w:lvlJc w:val="left"/>
      <w:pPr>
        <w:tabs>
          <w:tab w:val="num" w:pos="5040"/>
        </w:tabs>
        <w:ind w:left="5040" w:hanging="360"/>
      </w:pPr>
    </w:lvl>
    <w:lvl w:ilvl="8" w:tplc="922AEC4C" w:tentative="1">
      <w:start w:val="1"/>
      <w:numFmt w:val="decimal"/>
      <w:lvlText w:val="%9."/>
      <w:lvlJc w:val="left"/>
      <w:pPr>
        <w:tabs>
          <w:tab w:val="num" w:pos="5760"/>
        </w:tabs>
        <w:ind w:left="5760" w:hanging="36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37A6E02"/>
    <w:multiLevelType w:val="hybridMultilevel"/>
    <w:tmpl w:val="3AA08546"/>
    <w:lvl w:ilvl="0" w:tplc="6792C6A6">
      <w:start w:val="1"/>
      <w:numFmt w:val="bullet"/>
      <w:lvlText w:val="•"/>
      <w:lvlJc w:val="left"/>
      <w:pPr>
        <w:tabs>
          <w:tab w:val="num" w:pos="720"/>
        </w:tabs>
        <w:ind w:left="720" w:hanging="360"/>
      </w:pPr>
      <w:rPr>
        <w:rFonts w:ascii="Arial" w:hAnsi="Arial" w:hint="default"/>
      </w:rPr>
    </w:lvl>
    <w:lvl w:ilvl="1" w:tplc="649C3354" w:tentative="1">
      <w:start w:val="1"/>
      <w:numFmt w:val="bullet"/>
      <w:lvlText w:val="•"/>
      <w:lvlJc w:val="left"/>
      <w:pPr>
        <w:tabs>
          <w:tab w:val="num" w:pos="1440"/>
        </w:tabs>
        <w:ind w:left="1440" w:hanging="360"/>
      </w:pPr>
      <w:rPr>
        <w:rFonts w:ascii="Arial" w:hAnsi="Arial" w:hint="default"/>
      </w:rPr>
    </w:lvl>
    <w:lvl w:ilvl="2" w:tplc="7616AE42" w:tentative="1">
      <w:start w:val="1"/>
      <w:numFmt w:val="bullet"/>
      <w:lvlText w:val="•"/>
      <w:lvlJc w:val="left"/>
      <w:pPr>
        <w:tabs>
          <w:tab w:val="num" w:pos="2160"/>
        </w:tabs>
        <w:ind w:left="2160" w:hanging="360"/>
      </w:pPr>
      <w:rPr>
        <w:rFonts w:ascii="Arial" w:hAnsi="Arial" w:hint="default"/>
      </w:rPr>
    </w:lvl>
    <w:lvl w:ilvl="3" w:tplc="94364B06" w:tentative="1">
      <w:start w:val="1"/>
      <w:numFmt w:val="bullet"/>
      <w:lvlText w:val="•"/>
      <w:lvlJc w:val="left"/>
      <w:pPr>
        <w:tabs>
          <w:tab w:val="num" w:pos="2880"/>
        </w:tabs>
        <w:ind w:left="2880" w:hanging="360"/>
      </w:pPr>
      <w:rPr>
        <w:rFonts w:ascii="Arial" w:hAnsi="Arial" w:hint="default"/>
      </w:rPr>
    </w:lvl>
    <w:lvl w:ilvl="4" w:tplc="9828BE8A" w:tentative="1">
      <w:start w:val="1"/>
      <w:numFmt w:val="bullet"/>
      <w:lvlText w:val="•"/>
      <w:lvlJc w:val="left"/>
      <w:pPr>
        <w:tabs>
          <w:tab w:val="num" w:pos="3600"/>
        </w:tabs>
        <w:ind w:left="3600" w:hanging="360"/>
      </w:pPr>
      <w:rPr>
        <w:rFonts w:ascii="Arial" w:hAnsi="Arial" w:hint="default"/>
      </w:rPr>
    </w:lvl>
    <w:lvl w:ilvl="5" w:tplc="58B0B7B6" w:tentative="1">
      <w:start w:val="1"/>
      <w:numFmt w:val="bullet"/>
      <w:lvlText w:val="•"/>
      <w:lvlJc w:val="left"/>
      <w:pPr>
        <w:tabs>
          <w:tab w:val="num" w:pos="4320"/>
        </w:tabs>
        <w:ind w:left="4320" w:hanging="360"/>
      </w:pPr>
      <w:rPr>
        <w:rFonts w:ascii="Arial" w:hAnsi="Arial" w:hint="default"/>
      </w:rPr>
    </w:lvl>
    <w:lvl w:ilvl="6" w:tplc="3E746EE4" w:tentative="1">
      <w:start w:val="1"/>
      <w:numFmt w:val="bullet"/>
      <w:lvlText w:val="•"/>
      <w:lvlJc w:val="left"/>
      <w:pPr>
        <w:tabs>
          <w:tab w:val="num" w:pos="5040"/>
        </w:tabs>
        <w:ind w:left="5040" w:hanging="360"/>
      </w:pPr>
      <w:rPr>
        <w:rFonts w:ascii="Arial" w:hAnsi="Arial" w:hint="default"/>
      </w:rPr>
    </w:lvl>
    <w:lvl w:ilvl="7" w:tplc="BA8636C0" w:tentative="1">
      <w:start w:val="1"/>
      <w:numFmt w:val="bullet"/>
      <w:lvlText w:val="•"/>
      <w:lvlJc w:val="left"/>
      <w:pPr>
        <w:tabs>
          <w:tab w:val="num" w:pos="5760"/>
        </w:tabs>
        <w:ind w:left="5760" w:hanging="360"/>
      </w:pPr>
      <w:rPr>
        <w:rFonts w:ascii="Arial" w:hAnsi="Arial" w:hint="default"/>
      </w:rPr>
    </w:lvl>
    <w:lvl w:ilvl="8" w:tplc="BE567D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B4F11"/>
    <w:multiLevelType w:val="hybridMultilevel"/>
    <w:tmpl w:val="EBB41D9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BC243D"/>
    <w:multiLevelType w:val="hybridMultilevel"/>
    <w:tmpl w:val="FD5E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3708C7"/>
    <w:multiLevelType w:val="hybridMultilevel"/>
    <w:tmpl w:val="DCE6D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9"/>
  </w:num>
  <w:num w:numId="2">
    <w:abstractNumId w:val="5"/>
  </w:num>
  <w:num w:numId="3">
    <w:abstractNumId w:val="12"/>
  </w:num>
  <w:num w:numId="4">
    <w:abstractNumId w:val="1"/>
  </w:num>
  <w:num w:numId="5">
    <w:abstractNumId w:val="4"/>
  </w:num>
  <w:num w:numId="6">
    <w:abstractNumId w:val="11"/>
  </w:num>
  <w:num w:numId="7">
    <w:abstractNumId w:val="6"/>
  </w:num>
  <w:num w:numId="8">
    <w:abstractNumId w:val="10"/>
  </w:num>
  <w:num w:numId="9">
    <w:abstractNumId w:val="3"/>
  </w:num>
  <w:num w:numId="10">
    <w:abstractNumId w:val="0"/>
  </w:num>
  <w:num w:numId="11">
    <w:abstractNumId w:val="8"/>
  </w:num>
  <w:num w:numId="12">
    <w:abstractNumId w:val="7"/>
  </w:num>
  <w:num w:numId="1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BBA"/>
    <w:rsid w:val="000052FF"/>
    <w:rsid w:val="0001485D"/>
    <w:rsid w:val="000149EC"/>
    <w:rsid w:val="00020F1A"/>
    <w:rsid w:val="00032C70"/>
    <w:rsid w:val="00032D47"/>
    <w:rsid w:val="000337FD"/>
    <w:rsid w:val="00042858"/>
    <w:rsid w:val="000463E4"/>
    <w:rsid w:val="00051B4B"/>
    <w:rsid w:val="000550BC"/>
    <w:rsid w:val="000643FA"/>
    <w:rsid w:val="000703CC"/>
    <w:rsid w:val="000730C9"/>
    <w:rsid w:val="0007523A"/>
    <w:rsid w:val="0007575F"/>
    <w:rsid w:val="00075FD1"/>
    <w:rsid w:val="0008192E"/>
    <w:rsid w:val="00084E8C"/>
    <w:rsid w:val="00085800"/>
    <w:rsid w:val="000865E3"/>
    <w:rsid w:val="000917C5"/>
    <w:rsid w:val="000A36A9"/>
    <w:rsid w:val="000B0720"/>
    <w:rsid w:val="000B39AA"/>
    <w:rsid w:val="000B58C4"/>
    <w:rsid w:val="000B5AA9"/>
    <w:rsid w:val="000B6D99"/>
    <w:rsid w:val="000C21D0"/>
    <w:rsid w:val="000C57B9"/>
    <w:rsid w:val="000D1C0F"/>
    <w:rsid w:val="000D38DC"/>
    <w:rsid w:val="000E0384"/>
    <w:rsid w:val="000E29D8"/>
    <w:rsid w:val="000E357F"/>
    <w:rsid w:val="0010303E"/>
    <w:rsid w:val="0011327D"/>
    <w:rsid w:val="00116DA6"/>
    <w:rsid w:val="00117F7E"/>
    <w:rsid w:val="001231C8"/>
    <w:rsid w:val="00124646"/>
    <w:rsid w:val="0013088E"/>
    <w:rsid w:val="00131A07"/>
    <w:rsid w:val="00137E15"/>
    <w:rsid w:val="001417A8"/>
    <w:rsid w:val="00144CB3"/>
    <w:rsid w:val="0015319D"/>
    <w:rsid w:val="00153793"/>
    <w:rsid w:val="00171B55"/>
    <w:rsid w:val="00172743"/>
    <w:rsid w:val="001A48EC"/>
    <w:rsid w:val="001A5A68"/>
    <w:rsid w:val="001A6212"/>
    <w:rsid w:val="001A75E0"/>
    <w:rsid w:val="001B731B"/>
    <w:rsid w:val="001C0E9F"/>
    <w:rsid w:val="001C2009"/>
    <w:rsid w:val="001C5E6A"/>
    <w:rsid w:val="001C699C"/>
    <w:rsid w:val="001E0CE1"/>
    <w:rsid w:val="001E58CC"/>
    <w:rsid w:val="001F59ED"/>
    <w:rsid w:val="001F768F"/>
    <w:rsid w:val="00204FF3"/>
    <w:rsid w:val="0021167B"/>
    <w:rsid w:val="00211D37"/>
    <w:rsid w:val="00212204"/>
    <w:rsid w:val="00216763"/>
    <w:rsid w:val="00222269"/>
    <w:rsid w:val="00233D70"/>
    <w:rsid w:val="00235373"/>
    <w:rsid w:val="00241795"/>
    <w:rsid w:val="00242080"/>
    <w:rsid w:val="00246D61"/>
    <w:rsid w:val="0024786A"/>
    <w:rsid w:val="0025058B"/>
    <w:rsid w:val="00262116"/>
    <w:rsid w:val="002641FE"/>
    <w:rsid w:val="00265254"/>
    <w:rsid w:val="00265C25"/>
    <w:rsid w:val="0026717E"/>
    <w:rsid w:val="00267362"/>
    <w:rsid w:val="002725E8"/>
    <w:rsid w:val="00272EC2"/>
    <w:rsid w:val="00273B2A"/>
    <w:rsid w:val="00274677"/>
    <w:rsid w:val="00274CC5"/>
    <w:rsid w:val="00276785"/>
    <w:rsid w:val="002858D4"/>
    <w:rsid w:val="002879EC"/>
    <w:rsid w:val="0029147A"/>
    <w:rsid w:val="00297225"/>
    <w:rsid w:val="002A005E"/>
    <w:rsid w:val="002A0270"/>
    <w:rsid w:val="002A578B"/>
    <w:rsid w:val="002C0488"/>
    <w:rsid w:val="002C4097"/>
    <w:rsid w:val="002D2C3E"/>
    <w:rsid w:val="002D3D42"/>
    <w:rsid w:val="002D479B"/>
    <w:rsid w:val="002D6EC9"/>
    <w:rsid w:val="002D787B"/>
    <w:rsid w:val="00315DC4"/>
    <w:rsid w:val="00317020"/>
    <w:rsid w:val="00320B4D"/>
    <w:rsid w:val="00324FAE"/>
    <w:rsid w:val="00326FF6"/>
    <w:rsid w:val="00327A22"/>
    <w:rsid w:val="0033513A"/>
    <w:rsid w:val="00342130"/>
    <w:rsid w:val="00346605"/>
    <w:rsid w:val="0035318F"/>
    <w:rsid w:val="00354C01"/>
    <w:rsid w:val="00361551"/>
    <w:rsid w:val="0036306A"/>
    <w:rsid w:val="003727DB"/>
    <w:rsid w:val="00386642"/>
    <w:rsid w:val="00392176"/>
    <w:rsid w:val="003921D6"/>
    <w:rsid w:val="003A298A"/>
    <w:rsid w:val="003A553B"/>
    <w:rsid w:val="003A566A"/>
    <w:rsid w:val="003B1EC9"/>
    <w:rsid w:val="003B2414"/>
    <w:rsid w:val="003C2392"/>
    <w:rsid w:val="003C2E75"/>
    <w:rsid w:val="003D39F5"/>
    <w:rsid w:val="003D4B45"/>
    <w:rsid w:val="003E1304"/>
    <w:rsid w:val="003E35D4"/>
    <w:rsid w:val="003E7121"/>
    <w:rsid w:val="003F0731"/>
    <w:rsid w:val="003F33B4"/>
    <w:rsid w:val="004050F6"/>
    <w:rsid w:val="00405CEA"/>
    <w:rsid w:val="00405F6D"/>
    <w:rsid w:val="004109C0"/>
    <w:rsid w:val="00424124"/>
    <w:rsid w:val="00434212"/>
    <w:rsid w:val="00437624"/>
    <w:rsid w:val="00440F6E"/>
    <w:rsid w:val="00443645"/>
    <w:rsid w:val="00443CD6"/>
    <w:rsid w:val="00444DE5"/>
    <w:rsid w:val="004552C9"/>
    <w:rsid w:val="004607AC"/>
    <w:rsid w:val="0046127E"/>
    <w:rsid w:val="004678E1"/>
    <w:rsid w:val="00473281"/>
    <w:rsid w:val="00473B68"/>
    <w:rsid w:val="0048301B"/>
    <w:rsid w:val="004A5ABE"/>
    <w:rsid w:val="004A6424"/>
    <w:rsid w:val="004A69D0"/>
    <w:rsid w:val="004A6A82"/>
    <w:rsid w:val="004B0D85"/>
    <w:rsid w:val="004B6AA8"/>
    <w:rsid w:val="004B6E00"/>
    <w:rsid w:val="004C186B"/>
    <w:rsid w:val="004C3F2E"/>
    <w:rsid w:val="004C4856"/>
    <w:rsid w:val="004C7784"/>
    <w:rsid w:val="004D078F"/>
    <w:rsid w:val="004D780D"/>
    <w:rsid w:val="004D7CF8"/>
    <w:rsid w:val="004E6BC0"/>
    <w:rsid w:val="004E6D3B"/>
    <w:rsid w:val="005055A6"/>
    <w:rsid w:val="00507060"/>
    <w:rsid w:val="0051179B"/>
    <w:rsid w:val="00512A5D"/>
    <w:rsid w:val="0051424F"/>
    <w:rsid w:val="00514A31"/>
    <w:rsid w:val="00523623"/>
    <w:rsid w:val="005300F0"/>
    <w:rsid w:val="005413B0"/>
    <w:rsid w:val="0054154F"/>
    <w:rsid w:val="0054560C"/>
    <w:rsid w:val="00545FD3"/>
    <w:rsid w:val="0056238B"/>
    <w:rsid w:val="00565BDB"/>
    <w:rsid w:val="0057145F"/>
    <w:rsid w:val="005758E7"/>
    <w:rsid w:val="005778C8"/>
    <w:rsid w:val="0058120D"/>
    <w:rsid w:val="005A44B1"/>
    <w:rsid w:val="005A5B3A"/>
    <w:rsid w:val="005B47BD"/>
    <w:rsid w:val="005B6FA6"/>
    <w:rsid w:val="005D2C51"/>
    <w:rsid w:val="005F613D"/>
    <w:rsid w:val="00603015"/>
    <w:rsid w:val="0060603E"/>
    <w:rsid w:val="00627DF4"/>
    <w:rsid w:val="00634707"/>
    <w:rsid w:val="00644034"/>
    <w:rsid w:val="00652AC8"/>
    <w:rsid w:val="0066157D"/>
    <w:rsid w:val="006756FB"/>
    <w:rsid w:val="0067624E"/>
    <w:rsid w:val="00677BD0"/>
    <w:rsid w:val="00680F28"/>
    <w:rsid w:val="00685B82"/>
    <w:rsid w:val="00685E11"/>
    <w:rsid w:val="00687C0D"/>
    <w:rsid w:val="0069705B"/>
    <w:rsid w:val="006A0EDC"/>
    <w:rsid w:val="006A18DB"/>
    <w:rsid w:val="006A2D2E"/>
    <w:rsid w:val="006B545C"/>
    <w:rsid w:val="006C452E"/>
    <w:rsid w:val="006C5F4F"/>
    <w:rsid w:val="006C6365"/>
    <w:rsid w:val="006E790B"/>
    <w:rsid w:val="006F055C"/>
    <w:rsid w:val="006F253E"/>
    <w:rsid w:val="00702A43"/>
    <w:rsid w:val="0070610B"/>
    <w:rsid w:val="00707D20"/>
    <w:rsid w:val="00721AD7"/>
    <w:rsid w:val="007225EF"/>
    <w:rsid w:val="00722BA6"/>
    <w:rsid w:val="00723DC5"/>
    <w:rsid w:val="00727952"/>
    <w:rsid w:val="007338D6"/>
    <w:rsid w:val="00736DA9"/>
    <w:rsid w:val="00740B36"/>
    <w:rsid w:val="007422B7"/>
    <w:rsid w:val="00747A6F"/>
    <w:rsid w:val="0075622F"/>
    <w:rsid w:val="00756B44"/>
    <w:rsid w:val="0076067D"/>
    <w:rsid w:val="00782CDC"/>
    <w:rsid w:val="007839F9"/>
    <w:rsid w:val="0079276D"/>
    <w:rsid w:val="007A2765"/>
    <w:rsid w:val="007B13E5"/>
    <w:rsid w:val="007B2F6B"/>
    <w:rsid w:val="007B473A"/>
    <w:rsid w:val="007C0EE8"/>
    <w:rsid w:val="007D2C48"/>
    <w:rsid w:val="007D3A4A"/>
    <w:rsid w:val="007E546F"/>
    <w:rsid w:val="007F0AF3"/>
    <w:rsid w:val="007F1928"/>
    <w:rsid w:val="007F392E"/>
    <w:rsid w:val="007F7A08"/>
    <w:rsid w:val="00811A1B"/>
    <w:rsid w:val="00812560"/>
    <w:rsid w:val="008130E0"/>
    <w:rsid w:val="00817B5B"/>
    <w:rsid w:val="00824DED"/>
    <w:rsid w:val="00826E5A"/>
    <w:rsid w:val="00836505"/>
    <w:rsid w:val="0083713D"/>
    <w:rsid w:val="008437B2"/>
    <w:rsid w:val="00843F1C"/>
    <w:rsid w:val="00850DCE"/>
    <w:rsid w:val="00854FBB"/>
    <w:rsid w:val="008661BA"/>
    <w:rsid w:val="008671A6"/>
    <w:rsid w:val="00871CA8"/>
    <w:rsid w:val="00875E7E"/>
    <w:rsid w:val="00885004"/>
    <w:rsid w:val="00886B7B"/>
    <w:rsid w:val="008878E3"/>
    <w:rsid w:val="00887AB4"/>
    <w:rsid w:val="00894290"/>
    <w:rsid w:val="00897921"/>
    <w:rsid w:val="008A25A1"/>
    <w:rsid w:val="008A5B9B"/>
    <w:rsid w:val="008B0924"/>
    <w:rsid w:val="008B1418"/>
    <w:rsid w:val="008B39B6"/>
    <w:rsid w:val="008C1AFD"/>
    <w:rsid w:val="008C4B67"/>
    <w:rsid w:val="008C7E74"/>
    <w:rsid w:val="008D1AEF"/>
    <w:rsid w:val="008D2EE5"/>
    <w:rsid w:val="00900F07"/>
    <w:rsid w:val="009041B7"/>
    <w:rsid w:val="00905E86"/>
    <w:rsid w:val="009124E4"/>
    <w:rsid w:val="00924EA9"/>
    <w:rsid w:val="00925FA2"/>
    <w:rsid w:val="00926A9C"/>
    <w:rsid w:val="00927803"/>
    <w:rsid w:val="0093602F"/>
    <w:rsid w:val="00953821"/>
    <w:rsid w:val="00957CD1"/>
    <w:rsid w:val="00961DB2"/>
    <w:rsid w:val="0096209E"/>
    <w:rsid w:val="00962A9C"/>
    <w:rsid w:val="0097292F"/>
    <w:rsid w:val="009741D9"/>
    <w:rsid w:val="0098292E"/>
    <w:rsid w:val="00982CA4"/>
    <w:rsid w:val="00984235"/>
    <w:rsid w:val="00984D50"/>
    <w:rsid w:val="00993D92"/>
    <w:rsid w:val="009A4D63"/>
    <w:rsid w:val="009A4DDC"/>
    <w:rsid w:val="009A54FC"/>
    <w:rsid w:val="009B08C5"/>
    <w:rsid w:val="009B1347"/>
    <w:rsid w:val="009B3FD1"/>
    <w:rsid w:val="009B52C0"/>
    <w:rsid w:val="009C2167"/>
    <w:rsid w:val="009D46C1"/>
    <w:rsid w:val="009D7C68"/>
    <w:rsid w:val="009E0D02"/>
    <w:rsid w:val="009E264F"/>
    <w:rsid w:val="009E2AD6"/>
    <w:rsid w:val="009E4418"/>
    <w:rsid w:val="009E5838"/>
    <w:rsid w:val="009F0F23"/>
    <w:rsid w:val="00A00C85"/>
    <w:rsid w:val="00A11704"/>
    <w:rsid w:val="00A11840"/>
    <w:rsid w:val="00A22C61"/>
    <w:rsid w:val="00A230FD"/>
    <w:rsid w:val="00A262E4"/>
    <w:rsid w:val="00A26EC3"/>
    <w:rsid w:val="00A27226"/>
    <w:rsid w:val="00A359C7"/>
    <w:rsid w:val="00A41CF3"/>
    <w:rsid w:val="00A45DA7"/>
    <w:rsid w:val="00A4674D"/>
    <w:rsid w:val="00A55FF3"/>
    <w:rsid w:val="00A603CE"/>
    <w:rsid w:val="00A64CF7"/>
    <w:rsid w:val="00A7024B"/>
    <w:rsid w:val="00A821EA"/>
    <w:rsid w:val="00A8721E"/>
    <w:rsid w:val="00A91680"/>
    <w:rsid w:val="00A92495"/>
    <w:rsid w:val="00A9377F"/>
    <w:rsid w:val="00AA5899"/>
    <w:rsid w:val="00AB75A3"/>
    <w:rsid w:val="00AB7FC6"/>
    <w:rsid w:val="00AC6C0F"/>
    <w:rsid w:val="00AD115D"/>
    <w:rsid w:val="00AD16AE"/>
    <w:rsid w:val="00AD6C53"/>
    <w:rsid w:val="00AE53AA"/>
    <w:rsid w:val="00AE72F4"/>
    <w:rsid w:val="00AF0A4B"/>
    <w:rsid w:val="00AF65DE"/>
    <w:rsid w:val="00B04278"/>
    <w:rsid w:val="00B12672"/>
    <w:rsid w:val="00B237A9"/>
    <w:rsid w:val="00B2434D"/>
    <w:rsid w:val="00B24D29"/>
    <w:rsid w:val="00B30D88"/>
    <w:rsid w:val="00B34610"/>
    <w:rsid w:val="00B34716"/>
    <w:rsid w:val="00B60A3E"/>
    <w:rsid w:val="00B61A13"/>
    <w:rsid w:val="00B648CA"/>
    <w:rsid w:val="00B73A69"/>
    <w:rsid w:val="00B74894"/>
    <w:rsid w:val="00B749FB"/>
    <w:rsid w:val="00B82B83"/>
    <w:rsid w:val="00B909F7"/>
    <w:rsid w:val="00B96A24"/>
    <w:rsid w:val="00BA677D"/>
    <w:rsid w:val="00BA6FDB"/>
    <w:rsid w:val="00BB02ED"/>
    <w:rsid w:val="00BC31F9"/>
    <w:rsid w:val="00BC5D46"/>
    <w:rsid w:val="00BC69E5"/>
    <w:rsid w:val="00BC6F83"/>
    <w:rsid w:val="00BD34B4"/>
    <w:rsid w:val="00BE7B88"/>
    <w:rsid w:val="00BF2C5D"/>
    <w:rsid w:val="00BF31E3"/>
    <w:rsid w:val="00BF5F1C"/>
    <w:rsid w:val="00C06607"/>
    <w:rsid w:val="00C07731"/>
    <w:rsid w:val="00C07AC0"/>
    <w:rsid w:val="00C11464"/>
    <w:rsid w:val="00C134F3"/>
    <w:rsid w:val="00C218A9"/>
    <w:rsid w:val="00C47EE0"/>
    <w:rsid w:val="00C63006"/>
    <w:rsid w:val="00C67568"/>
    <w:rsid w:val="00C71871"/>
    <w:rsid w:val="00C85E87"/>
    <w:rsid w:val="00C913B6"/>
    <w:rsid w:val="00C92939"/>
    <w:rsid w:val="00CA6EA3"/>
    <w:rsid w:val="00CB15A7"/>
    <w:rsid w:val="00CB4FDD"/>
    <w:rsid w:val="00CB6D97"/>
    <w:rsid w:val="00CE0C9D"/>
    <w:rsid w:val="00CE6572"/>
    <w:rsid w:val="00CE6E72"/>
    <w:rsid w:val="00D117C4"/>
    <w:rsid w:val="00D23CDC"/>
    <w:rsid w:val="00D26593"/>
    <w:rsid w:val="00D268EB"/>
    <w:rsid w:val="00D26CFF"/>
    <w:rsid w:val="00D274C6"/>
    <w:rsid w:val="00D33C2E"/>
    <w:rsid w:val="00D3454B"/>
    <w:rsid w:val="00D456D8"/>
    <w:rsid w:val="00D45A0E"/>
    <w:rsid w:val="00D4758C"/>
    <w:rsid w:val="00D55FAB"/>
    <w:rsid w:val="00D56786"/>
    <w:rsid w:val="00D61EAB"/>
    <w:rsid w:val="00D701D3"/>
    <w:rsid w:val="00D7445F"/>
    <w:rsid w:val="00D82362"/>
    <w:rsid w:val="00D92B1D"/>
    <w:rsid w:val="00DC0E31"/>
    <w:rsid w:val="00DC61A8"/>
    <w:rsid w:val="00DC70D0"/>
    <w:rsid w:val="00DC7DD6"/>
    <w:rsid w:val="00DD3971"/>
    <w:rsid w:val="00DD571D"/>
    <w:rsid w:val="00DE7D3E"/>
    <w:rsid w:val="00E13146"/>
    <w:rsid w:val="00E174FC"/>
    <w:rsid w:val="00E20070"/>
    <w:rsid w:val="00E20994"/>
    <w:rsid w:val="00E22124"/>
    <w:rsid w:val="00E261AD"/>
    <w:rsid w:val="00E324C0"/>
    <w:rsid w:val="00E40344"/>
    <w:rsid w:val="00E500AB"/>
    <w:rsid w:val="00E576BD"/>
    <w:rsid w:val="00E57885"/>
    <w:rsid w:val="00E57BE9"/>
    <w:rsid w:val="00E604D6"/>
    <w:rsid w:val="00E67086"/>
    <w:rsid w:val="00E67F4E"/>
    <w:rsid w:val="00E83593"/>
    <w:rsid w:val="00E857E4"/>
    <w:rsid w:val="00E85B05"/>
    <w:rsid w:val="00E86F47"/>
    <w:rsid w:val="00E879B4"/>
    <w:rsid w:val="00E9139D"/>
    <w:rsid w:val="00E92487"/>
    <w:rsid w:val="00EA0940"/>
    <w:rsid w:val="00EA3B02"/>
    <w:rsid w:val="00EA54FD"/>
    <w:rsid w:val="00EA5A59"/>
    <w:rsid w:val="00EB3301"/>
    <w:rsid w:val="00ED6E24"/>
    <w:rsid w:val="00EE23F0"/>
    <w:rsid w:val="00EE48A6"/>
    <w:rsid w:val="00EE4A18"/>
    <w:rsid w:val="00EF06BE"/>
    <w:rsid w:val="00EF61D1"/>
    <w:rsid w:val="00F1070A"/>
    <w:rsid w:val="00F154D0"/>
    <w:rsid w:val="00F261D6"/>
    <w:rsid w:val="00F35911"/>
    <w:rsid w:val="00F42D43"/>
    <w:rsid w:val="00F57965"/>
    <w:rsid w:val="00F65CC7"/>
    <w:rsid w:val="00F72ABE"/>
    <w:rsid w:val="00F72B1B"/>
    <w:rsid w:val="00F77E12"/>
    <w:rsid w:val="00F814DE"/>
    <w:rsid w:val="00F83E88"/>
    <w:rsid w:val="00F90045"/>
    <w:rsid w:val="00F925FE"/>
    <w:rsid w:val="00FA28D1"/>
    <w:rsid w:val="00FA6462"/>
    <w:rsid w:val="00FA6558"/>
    <w:rsid w:val="00FC2653"/>
    <w:rsid w:val="00FD2095"/>
    <w:rsid w:val="00FD489B"/>
    <w:rsid w:val="00FD530D"/>
    <w:rsid w:val="00FD6C05"/>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ABB3EE"/>
  <w15:chartTrackingRefBased/>
  <w15:docId w15:val="{C4AB733C-D9CB-4246-8D80-E2E308356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TALCar">
    <w:name w:val="TAL Car"/>
    <w:link w:val="TAL"/>
    <w:rsid w:val="00A230FD"/>
    <w:rPr>
      <w:rFonts w:ascii="Arial" w:eastAsia="Times New Roman" w:hAnsi="Arial"/>
      <w:sz w:val="18"/>
      <w:lang w:val="en-GB" w:eastAsia="ja-JP"/>
    </w:rPr>
  </w:style>
  <w:style w:type="paragraph" w:customStyle="1" w:styleId="TAH">
    <w:name w:val="TAH"/>
    <w:basedOn w:val="Normal"/>
    <w:rsid w:val="00A230FD"/>
    <w:pPr>
      <w:keepNext/>
      <w:keepLines/>
      <w:overflowPunct w:val="0"/>
      <w:autoSpaceDE w:val="0"/>
      <w:autoSpaceDN w:val="0"/>
      <w:adjustRightInd w:val="0"/>
      <w:spacing w:before="0" w:after="0"/>
      <w:jc w:val="center"/>
      <w:textAlignment w:val="baseline"/>
    </w:pPr>
    <w:rPr>
      <w:b/>
      <w:sz w:val="18"/>
      <w:lang w:val="x-none" w:eastAsia="x-none"/>
    </w:rPr>
  </w:style>
  <w:style w:type="paragraph" w:customStyle="1" w:styleId="TAN">
    <w:name w:val="TAN"/>
    <w:basedOn w:val="TAL"/>
    <w:rsid w:val="00A230FD"/>
    <w:pPr>
      <w:ind w:left="851" w:hanging="851"/>
    </w:pPr>
    <w:rPr>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31750107">
      <w:bodyDiv w:val="1"/>
      <w:marLeft w:val="0"/>
      <w:marRight w:val="0"/>
      <w:marTop w:val="0"/>
      <w:marBottom w:val="0"/>
      <w:divBdr>
        <w:top w:val="none" w:sz="0" w:space="0" w:color="auto"/>
        <w:left w:val="none" w:sz="0" w:space="0" w:color="auto"/>
        <w:bottom w:val="none" w:sz="0" w:space="0" w:color="auto"/>
        <w:right w:val="none" w:sz="0" w:space="0" w:color="auto"/>
      </w:divBdr>
    </w:div>
    <w:div w:id="309286872">
      <w:bodyDiv w:val="1"/>
      <w:marLeft w:val="0"/>
      <w:marRight w:val="0"/>
      <w:marTop w:val="0"/>
      <w:marBottom w:val="0"/>
      <w:divBdr>
        <w:top w:val="none" w:sz="0" w:space="0" w:color="auto"/>
        <w:left w:val="none" w:sz="0" w:space="0" w:color="auto"/>
        <w:bottom w:val="none" w:sz="0" w:space="0" w:color="auto"/>
        <w:right w:val="none" w:sz="0" w:space="0" w:color="auto"/>
      </w:divBdr>
    </w:div>
    <w:div w:id="412968285">
      <w:bodyDiv w:val="1"/>
      <w:marLeft w:val="0"/>
      <w:marRight w:val="0"/>
      <w:marTop w:val="0"/>
      <w:marBottom w:val="0"/>
      <w:divBdr>
        <w:top w:val="none" w:sz="0" w:space="0" w:color="auto"/>
        <w:left w:val="none" w:sz="0" w:space="0" w:color="auto"/>
        <w:bottom w:val="none" w:sz="0" w:space="0" w:color="auto"/>
        <w:right w:val="none" w:sz="0" w:space="0" w:color="auto"/>
      </w:divBdr>
    </w:div>
    <w:div w:id="456875834">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40635901">
      <w:bodyDiv w:val="1"/>
      <w:marLeft w:val="0"/>
      <w:marRight w:val="0"/>
      <w:marTop w:val="0"/>
      <w:marBottom w:val="0"/>
      <w:divBdr>
        <w:top w:val="none" w:sz="0" w:space="0" w:color="auto"/>
        <w:left w:val="none" w:sz="0" w:space="0" w:color="auto"/>
        <w:bottom w:val="none" w:sz="0" w:space="0" w:color="auto"/>
        <w:right w:val="none" w:sz="0" w:space="0" w:color="auto"/>
      </w:divBdr>
    </w:div>
    <w:div w:id="591738654">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3889707">
      <w:bodyDiv w:val="1"/>
      <w:marLeft w:val="0"/>
      <w:marRight w:val="0"/>
      <w:marTop w:val="0"/>
      <w:marBottom w:val="0"/>
      <w:divBdr>
        <w:top w:val="none" w:sz="0" w:space="0" w:color="auto"/>
        <w:left w:val="none" w:sz="0" w:space="0" w:color="auto"/>
        <w:bottom w:val="none" w:sz="0" w:space="0" w:color="auto"/>
        <w:right w:val="none" w:sz="0" w:space="0" w:color="auto"/>
      </w:divBdr>
      <w:divsChild>
        <w:div w:id="1574585120">
          <w:marLeft w:val="547"/>
          <w:marRight w:val="0"/>
          <w:marTop w:val="115"/>
          <w:marBottom w:val="0"/>
          <w:divBdr>
            <w:top w:val="none" w:sz="0" w:space="0" w:color="auto"/>
            <w:left w:val="none" w:sz="0" w:space="0" w:color="auto"/>
            <w:bottom w:val="none" w:sz="0" w:space="0" w:color="auto"/>
            <w:right w:val="none" w:sz="0" w:space="0" w:color="auto"/>
          </w:divBdr>
        </w:div>
        <w:div w:id="944386830">
          <w:marLeft w:val="547"/>
          <w:marRight w:val="0"/>
          <w:marTop w:val="115"/>
          <w:marBottom w:val="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346131447">
      <w:bodyDiv w:val="1"/>
      <w:marLeft w:val="0"/>
      <w:marRight w:val="0"/>
      <w:marTop w:val="0"/>
      <w:marBottom w:val="0"/>
      <w:divBdr>
        <w:top w:val="none" w:sz="0" w:space="0" w:color="auto"/>
        <w:left w:val="none" w:sz="0" w:space="0" w:color="auto"/>
        <w:bottom w:val="none" w:sz="0" w:space="0" w:color="auto"/>
        <w:right w:val="none" w:sz="0" w:space="0" w:color="auto"/>
      </w:divBdr>
    </w:div>
    <w:div w:id="1484739741">
      <w:bodyDiv w:val="1"/>
      <w:marLeft w:val="0"/>
      <w:marRight w:val="0"/>
      <w:marTop w:val="0"/>
      <w:marBottom w:val="0"/>
      <w:divBdr>
        <w:top w:val="none" w:sz="0" w:space="0" w:color="auto"/>
        <w:left w:val="none" w:sz="0" w:space="0" w:color="auto"/>
        <w:bottom w:val="none" w:sz="0" w:space="0" w:color="auto"/>
        <w:right w:val="none" w:sz="0" w:space="0" w:color="auto"/>
      </w:divBdr>
      <w:divsChild>
        <w:div w:id="694501481">
          <w:marLeft w:val="547"/>
          <w:marRight w:val="0"/>
          <w:marTop w:val="0"/>
          <w:marBottom w:val="120"/>
          <w:divBdr>
            <w:top w:val="none" w:sz="0" w:space="0" w:color="auto"/>
            <w:left w:val="none" w:sz="0" w:space="0" w:color="auto"/>
            <w:bottom w:val="none" w:sz="0" w:space="0" w:color="auto"/>
            <w:right w:val="none" w:sz="0" w:space="0" w:color="auto"/>
          </w:divBdr>
        </w:div>
        <w:div w:id="1166434096">
          <w:marLeft w:val="547"/>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5141144">
      <w:bodyDiv w:val="1"/>
      <w:marLeft w:val="0"/>
      <w:marRight w:val="0"/>
      <w:marTop w:val="0"/>
      <w:marBottom w:val="0"/>
      <w:divBdr>
        <w:top w:val="none" w:sz="0" w:space="0" w:color="auto"/>
        <w:left w:val="none" w:sz="0" w:space="0" w:color="auto"/>
        <w:bottom w:val="none" w:sz="0" w:space="0" w:color="auto"/>
        <w:right w:val="none" w:sz="0" w:space="0" w:color="auto"/>
      </w:divBdr>
    </w:div>
    <w:div w:id="165506165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915898678">
      <w:bodyDiv w:val="1"/>
      <w:marLeft w:val="0"/>
      <w:marRight w:val="0"/>
      <w:marTop w:val="0"/>
      <w:marBottom w:val="0"/>
      <w:divBdr>
        <w:top w:val="none" w:sz="0" w:space="0" w:color="auto"/>
        <w:left w:val="none" w:sz="0" w:space="0" w:color="auto"/>
        <w:bottom w:val="none" w:sz="0" w:space="0" w:color="auto"/>
        <w:right w:val="none" w:sz="0" w:space="0" w:color="auto"/>
      </w:divBdr>
    </w:div>
    <w:div w:id="1921136653">
      <w:bodyDiv w:val="1"/>
      <w:marLeft w:val="0"/>
      <w:marRight w:val="0"/>
      <w:marTop w:val="0"/>
      <w:marBottom w:val="0"/>
      <w:divBdr>
        <w:top w:val="none" w:sz="0" w:space="0" w:color="auto"/>
        <w:left w:val="none" w:sz="0" w:space="0" w:color="auto"/>
        <w:bottom w:val="none" w:sz="0" w:space="0" w:color="auto"/>
        <w:right w:val="none" w:sz="0" w:space="0" w:color="auto"/>
      </w:divBdr>
    </w:div>
    <w:div w:id="1932203018">
      <w:bodyDiv w:val="1"/>
      <w:marLeft w:val="0"/>
      <w:marRight w:val="0"/>
      <w:marTop w:val="0"/>
      <w:marBottom w:val="0"/>
      <w:divBdr>
        <w:top w:val="none" w:sz="0" w:space="0" w:color="auto"/>
        <w:left w:val="none" w:sz="0" w:space="0" w:color="auto"/>
        <w:bottom w:val="none" w:sz="0" w:space="0" w:color="auto"/>
        <w:right w:val="none" w:sz="0" w:space="0" w:color="auto"/>
      </w:divBdr>
      <w:divsChild>
        <w:div w:id="231236375">
          <w:marLeft w:val="360"/>
          <w:marRight w:val="0"/>
          <w:marTop w:val="77"/>
          <w:marBottom w:val="0"/>
          <w:divBdr>
            <w:top w:val="none" w:sz="0" w:space="0" w:color="auto"/>
            <w:left w:val="none" w:sz="0" w:space="0" w:color="auto"/>
            <w:bottom w:val="none" w:sz="0" w:space="0" w:color="auto"/>
            <w:right w:val="none" w:sz="0" w:space="0" w:color="auto"/>
          </w:divBdr>
        </w:div>
        <w:div w:id="511917189">
          <w:marLeft w:val="1166"/>
          <w:marRight w:val="0"/>
          <w:marTop w:val="67"/>
          <w:marBottom w:val="0"/>
          <w:divBdr>
            <w:top w:val="none" w:sz="0" w:space="0" w:color="auto"/>
            <w:left w:val="none" w:sz="0" w:space="0" w:color="auto"/>
            <w:bottom w:val="none" w:sz="0" w:space="0" w:color="auto"/>
            <w:right w:val="none" w:sz="0" w:space="0" w:color="auto"/>
          </w:divBdr>
        </w:div>
        <w:div w:id="1948271744">
          <w:marLeft w:val="360"/>
          <w:marRight w:val="0"/>
          <w:marTop w:val="77"/>
          <w:marBottom w:val="0"/>
          <w:divBdr>
            <w:top w:val="none" w:sz="0" w:space="0" w:color="auto"/>
            <w:left w:val="none" w:sz="0" w:space="0" w:color="auto"/>
            <w:bottom w:val="none" w:sz="0" w:space="0" w:color="auto"/>
            <w:right w:val="none" w:sz="0" w:space="0" w:color="auto"/>
          </w:divBdr>
        </w:div>
        <w:div w:id="1257985437">
          <w:marLeft w:val="1166"/>
          <w:marRight w:val="0"/>
          <w:marTop w:val="67"/>
          <w:marBottom w:val="0"/>
          <w:divBdr>
            <w:top w:val="none" w:sz="0" w:space="0" w:color="auto"/>
            <w:left w:val="none" w:sz="0" w:space="0" w:color="auto"/>
            <w:bottom w:val="none" w:sz="0" w:space="0" w:color="auto"/>
            <w:right w:val="none" w:sz="0" w:space="0" w:color="auto"/>
          </w:divBdr>
        </w:div>
        <w:div w:id="146017730">
          <w:marLeft w:val="360"/>
          <w:marRight w:val="0"/>
          <w:marTop w:val="77"/>
          <w:marBottom w:val="0"/>
          <w:divBdr>
            <w:top w:val="none" w:sz="0" w:space="0" w:color="auto"/>
            <w:left w:val="none" w:sz="0" w:space="0" w:color="auto"/>
            <w:bottom w:val="none" w:sz="0" w:space="0" w:color="auto"/>
            <w:right w:val="none" w:sz="0" w:space="0" w:color="auto"/>
          </w:divBdr>
        </w:div>
        <w:div w:id="1125808237">
          <w:marLeft w:val="1166"/>
          <w:marRight w:val="0"/>
          <w:marTop w:val="67"/>
          <w:marBottom w:val="0"/>
          <w:divBdr>
            <w:top w:val="none" w:sz="0" w:space="0" w:color="auto"/>
            <w:left w:val="none" w:sz="0" w:space="0" w:color="auto"/>
            <w:bottom w:val="none" w:sz="0" w:space="0" w:color="auto"/>
            <w:right w:val="none" w:sz="0" w:space="0" w:color="auto"/>
          </w:divBdr>
        </w:div>
        <w:div w:id="245463527">
          <w:marLeft w:val="1166"/>
          <w:marRight w:val="0"/>
          <w:marTop w:val="67"/>
          <w:marBottom w:val="0"/>
          <w:divBdr>
            <w:top w:val="none" w:sz="0" w:space="0" w:color="auto"/>
            <w:left w:val="none" w:sz="0" w:space="0" w:color="auto"/>
            <w:bottom w:val="none" w:sz="0" w:space="0" w:color="auto"/>
            <w:right w:val="none" w:sz="0" w:space="0" w:color="auto"/>
          </w:divBdr>
        </w:div>
        <w:div w:id="1841504451">
          <w:marLeft w:val="547"/>
          <w:marRight w:val="0"/>
          <w:marTop w:val="77"/>
          <w:marBottom w:val="0"/>
          <w:divBdr>
            <w:top w:val="none" w:sz="0" w:space="0" w:color="auto"/>
            <w:left w:val="none" w:sz="0" w:space="0" w:color="auto"/>
            <w:bottom w:val="none" w:sz="0" w:space="0" w:color="auto"/>
            <w:right w:val="none" w:sz="0" w:space="0" w:color="auto"/>
          </w:divBdr>
        </w:div>
        <w:div w:id="1935897007">
          <w:marLeft w:val="1166"/>
          <w:marRight w:val="0"/>
          <w:marTop w:val="67"/>
          <w:marBottom w:val="0"/>
          <w:divBdr>
            <w:top w:val="none" w:sz="0" w:space="0" w:color="auto"/>
            <w:left w:val="none" w:sz="0" w:space="0" w:color="auto"/>
            <w:bottom w:val="none" w:sz="0" w:space="0" w:color="auto"/>
            <w:right w:val="none" w:sz="0" w:space="0" w:color="auto"/>
          </w:divBdr>
        </w:div>
        <w:div w:id="1301308203">
          <w:marLeft w:val="1166"/>
          <w:marRight w:val="0"/>
          <w:marTop w:val="67"/>
          <w:marBottom w:val="0"/>
          <w:divBdr>
            <w:top w:val="none" w:sz="0" w:space="0" w:color="auto"/>
            <w:left w:val="none" w:sz="0" w:space="0" w:color="auto"/>
            <w:bottom w:val="none" w:sz="0" w:space="0" w:color="auto"/>
            <w:right w:val="none" w:sz="0" w:space="0" w:color="auto"/>
          </w:divBdr>
        </w:div>
        <w:div w:id="1912542814">
          <w:marLeft w:val="1166"/>
          <w:marRight w:val="0"/>
          <w:marTop w:val="67"/>
          <w:marBottom w:val="0"/>
          <w:divBdr>
            <w:top w:val="none" w:sz="0" w:space="0" w:color="auto"/>
            <w:left w:val="none" w:sz="0" w:space="0" w:color="auto"/>
            <w:bottom w:val="none" w:sz="0" w:space="0" w:color="auto"/>
            <w:right w:val="none" w:sz="0" w:space="0" w:color="auto"/>
          </w:divBdr>
        </w:div>
        <w:div w:id="313070256">
          <w:marLeft w:val="547"/>
          <w:marRight w:val="0"/>
          <w:marTop w:val="77"/>
          <w:marBottom w:val="0"/>
          <w:divBdr>
            <w:top w:val="none" w:sz="0" w:space="0" w:color="auto"/>
            <w:left w:val="none" w:sz="0" w:space="0" w:color="auto"/>
            <w:bottom w:val="none" w:sz="0" w:space="0" w:color="auto"/>
            <w:right w:val="none" w:sz="0" w:space="0" w:color="auto"/>
          </w:divBdr>
        </w:div>
      </w:divsChild>
    </w:div>
    <w:div w:id="205187824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39GHz,</a:t>
            </a:r>
            <a:r>
              <a:rPr lang="en-US" baseline="0"/>
              <a:t> 100MHz, Layout 2</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Max RU</c:v>
          </c:tx>
          <c:spPr>
            <a:solidFill>
              <a:schemeClr val="accent1"/>
            </a:solidFill>
            <a:ln>
              <a:noFill/>
            </a:ln>
            <a:effectLst/>
          </c:spPr>
          <c:invertIfNegative val="0"/>
          <c:cat>
            <c:strRef>
              <c:f>Sheet1!$H$2:$H$5</c:f>
              <c:strCache>
                <c:ptCount val="4"/>
                <c:pt idx="0">
                  <c:v>Hop 0 (Donor)</c:v>
                </c:pt>
                <c:pt idx="1">
                  <c:v>Hop 1</c:v>
                </c:pt>
                <c:pt idx="2">
                  <c:v>Hop 2</c:v>
                </c:pt>
                <c:pt idx="3">
                  <c:v>Hop 3</c:v>
                </c:pt>
              </c:strCache>
            </c:strRef>
          </c:cat>
          <c:val>
            <c:numRef>
              <c:f>(Sheet1!$A$3,Sheet1!$A$8,Sheet1!$A$13,Sheet1!$A$18)</c:f>
              <c:numCache>
                <c:formatCode>General</c:formatCode>
                <c:ptCount val="4"/>
                <c:pt idx="0">
                  <c:v>0.49330000000000002</c:v>
                </c:pt>
                <c:pt idx="1">
                  <c:v>0.38269999999999998</c:v>
                </c:pt>
                <c:pt idx="2">
                  <c:v>0.371</c:v>
                </c:pt>
                <c:pt idx="3">
                  <c:v>0.11119999999999999</c:v>
                </c:pt>
              </c:numCache>
            </c:numRef>
          </c:val>
          <c:extLst>
            <c:ext xmlns:c16="http://schemas.microsoft.com/office/drawing/2014/chart" uri="{C3380CC4-5D6E-409C-BE32-E72D297353CC}">
              <c16:uniqueId val="{00000000-02BA-4BC6-9183-FF80BA03A3B1}"/>
            </c:ext>
          </c:extLst>
        </c:ser>
        <c:ser>
          <c:idx val="1"/>
          <c:order val="1"/>
          <c:tx>
            <c:v>Average RU</c:v>
          </c:tx>
          <c:spPr>
            <a:solidFill>
              <a:schemeClr val="accent2"/>
            </a:solidFill>
            <a:ln>
              <a:noFill/>
            </a:ln>
            <a:effectLst/>
          </c:spPr>
          <c:invertIfNegative val="0"/>
          <c:cat>
            <c:strRef>
              <c:f>Sheet1!$H$2:$H$5</c:f>
              <c:strCache>
                <c:ptCount val="4"/>
                <c:pt idx="0">
                  <c:v>Hop 0 (Donor)</c:v>
                </c:pt>
                <c:pt idx="1">
                  <c:v>Hop 1</c:v>
                </c:pt>
                <c:pt idx="2">
                  <c:v>Hop 2</c:v>
                </c:pt>
                <c:pt idx="3">
                  <c:v>Hop 3</c:v>
                </c:pt>
              </c:strCache>
            </c:strRef>
          </c:cat>
          <c:val>
            <c:numRef>
              <c:f>(Sheet1!$D$3,Sheet1!$D$8,Sheet1!$D$13,Sheet1!$D$18)</c:f>
              <c:numCache>
                <c:formatCode>General</c:formatCode>
                <c:ptCount val="4"/>
                <c:pt idx="0">
                  <c:v>0.1469</c:v>
                </c:pt>
                <c:pt idx="1">
                  <c:v>1.47E-2</c:v>
                </c:pt>
                <c:pt idx="2">
                  <c:v>9.4000000000000004E-3</c:v>
                </c:pt>
                <c:pt idx="3">
                  <c:v>1.4E-3</c:v>
                </c:pt>
              </c:numCache>
            </c:numRef>
          </c:val>
          <c:extLst>
            <c:ext xmlns:c16="http://schemas.microsoft.com/office/drawing/2014/chart" uri="{C3380CC4-5D6E-409C-BE32-E72D297353CC}">
              <c16:uniqueId val="{00000001-02BA-4BC6-9183-FF80BA03A3B1}"/>
            </c:ext>
          </c:extLst>
        </c:ser>
        <c:dLbls>
          <c:showLegendKey val="0"/>
          <c:showVal val="0"/>
          <c:showCatName val="0"/>
          <c:showSerName val="0"/>
          <c:showPercent val="0"/>
          <c:showBubbleSize val="0"/>
        </c:dLbls>
        <c:gapWidth val="219"/>
        <c:overlap val="-27"/>
        <c:axId val="783092192"/>
        <c:axId val="783092520"/>
      </c:barChart>
      <c:catAx>
        <c:axId val="783092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83092520"/>
        <c:crosses val="autoZero"/>
        <c:auto val="1"/>
        <c:lblAlgn val="ctr"/>
        <c:lblOffset val="100"/>
        <c:noMultiLvlLbl val="0"/>
      </c:catAx>
      <c:valAx>
        <c:axId val="783092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DL Resource Utilization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8309219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F8C61-3F2E-486E-9B32-B23A4B9C2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515</Words>
  <Characters>2938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5</cp:revision>
  <cp:lastPrinted>2016-02-23T18:51:00Z</cp:lastPrinted>
  <dcterms:created xsi:type="dcterms:W3CDTF">2019-08-16T04:28:00Z</dcterms:created>
  <dcterms:modified xsi:type="dcterms:W3CDTF">2019-08-16T18:31:00Z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